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B1A8A">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napToGrid/>
          <w:color w:val="auto"/>
          <w:spacing w:val="0"/>
          <w:w w:val="100"/>
          <w:kern w:val="2"/>
          <w:position w:val="0"/>
          <w:sz w:val="44"/>
          <w:szCs w:val="44"/>
          <w:u w:val="none" w:color="auto"/>
          <w:vertAlign w:val="baseline"/>
          <w:lang w:val="en-US" w:eastAsia="zh-CN" w:bidi="ar-SA"/>
        </w:rPr>
      </w:pPr>
      <w:r>
        <w:rPr>
          <w:rFonts w:hint="eastAsia" w:ascii="方正小标宋简体" w:hAnsi="方正小标宋简体" w:eastAsia="方正小标宋简体" w:cs="方正小标宋简体"/>
          <w:b w:val="0"/>
          <w:bCs w:val="0"/>
          <w:snapToGrid/>
          <w:color w:val="auto"/>
          <w:spacing w:val="0"/>
          <w:w w:val="100"/>
          <w:kern w:val="2"/>
          <w:position w:val="0"/>
          <w:sz w:val="44"/>
          <w:szCs w:val="44"/>
          <w:u w:val="none" w:color="auto"/>
          <w:vertAlign w:val="baseline"/>
          <w:lang w:val="en-US" w:eastAsia="zh-CN" w:bidi="ar-SA"/>
        </w:rPr>
        <w:t>淮南市老旧营运货车报废更新工作明白纸</w:t>
      </w:r>
    </w:p>
    <w:p w14:paraId="239BB406">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lang w:val="en-US" w:eastAsia="zh-CN"/>
        </w:rPr>
      </w:pPr>
    </w:p>
    <w:p w14:paraId="6D9A29C0">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一、报废更新实施时间（政策实施期）</w:t>
      </w:r>
    </w:p>
    <w:p w14:paraId="4D68D50D">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自2024年7月31日至2024年12月31日。</w:t>
      </w:r>
    </w:p>
    <w:p w14:paraId="619B70CF">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kern w:val="2"/>
          <w:sz w:val="32"/>
          <w:szCs w:val="32"/>
          <w:lang w:val="en-US" w:eastAsia="zh-CN"/>
        </w:rPr>
      </w:pPr>
      <w:r>
        <w:rPr>
          <w:rFonts w:hint="eastAsia" w:ascii="黑体" w:hAnsi="黑体" w:eastAsia="黑体" w:cs="黑体"/>
          <w:b w:val="0"/>
          <w:bCs w:val="0"/>
          <w:kern w:val="2"/>
          <w:sz w:val="32"/>
          <w:szCs w:val="32"/>
          <w:lang w:val="en-US" w:eastAsia="zh-CN"/>
        </w:rPr>
        <w:t>二、报废更新实施范围</w:t>
      </w:r>
    </w:p>
    <w:p w14:paraId="07F1A8B1">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lang w:val="en-US" w:eastAsia="zh-CN"/>
        </w:rPr>
        <w:t>（一）</w:t>
      </w:r>
      <w:r>
        <w:rPr>
          <w:rFonts w:hint="eastAsia" w:ascii="楷体_GB2312" w:hAnsi="楷体_GB2312" w:eastAsia="楷体_GB2312" w:cs="楷体_GB2312"/>
          <w:b/>
          <w:bCs/>
          <w:kern w:val="2"/>
          <w:sz w:val="32"/>
          <w:szCs w:val="32"/>
        </w:rPr>
        <w:t>报废货车</w:t>
      </w:r>
      <w:r>
        <w:rPr>
          <w:rFonts w:hint="eastAsia" w:ascii="楷体_GB2312" w:hAnsi="楷体_GB2312" w:eastAsia="楷体_GB2312" w:cs="楷体_GB2312"/>
          <w:b/>
          <w:bCs/>
          <w:kern w:val="2"/>
          <w:sz w:val="32"/>
          <w:szCs w:val="32"/>
          <w:lang w:eastAsia="zh-CN"/>
        </w:rPr>
        <w:t>要</w:t>
      </w:r>
      <w:r>
        <w:rPr>
          <w:rFonts w:hint="eastAsia" w:ascii="楷体_GB2312" w:hAnsi="楷体_GB2312" w:eastAsia="楷体_GB2312" w:cs="楷体_GB2312"/>
          <w:b/>
          <w:bCs/>
          <w:kern w:val="2"/>
          <w:sz w:val="32"/>
          <w:szCs w:val="32"/>
        </w:rPr>
        <w:t>符合以下条件</w:t>
      </w:r>
    </w:p>
    <w:p w14:paraId="7EE84304">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rPr>
      </w:pPr>
      <w:r>
        <w:rPr>
          <w:rFonts w:hint="eastAsia" w:ascii="仿宋_GB2312" w:eastAsia="仿宋_GB2312"/>
          <w:kern w:val="2"/>
          <w:sz w:val="32"/>
          <w:szCs w:val="32"/>
          <w:lang w:val="en-US" w:eastAsia="zh-CN"/>
        </w:rPr>
        <w:t>1、</w:t>
      </w:r>
      <w:r>
        <w:rPr>
          <w:rFonts w:hint="eastAsia" w:ascii="仿宋_GB2312" w:eastAsia="仿宋_GB2312"/>
          <w:kern w:val="2"/>
          <w:sz w:val="32"/>
          <w:szCs w:val="32"/>
        </w:rPr>
        <w:t>国三及以下排放标准中型</w:t>
      </w:r>
      <w:r>
        <w:rPr>
          <w:rFonts w:hint="eastAsia" w:ascii="仿宋_GB2312" w:eastAsia="仿宋_GB2312"/>
          <w:kern w:val="2"/>
          <w:sz w:val="32"/>
          <w:szCs w:val="32"/>
          <w:lang w:eastAsia="zh-CN"/>
        </w:rPr>
        <w:t>（总质量在</w:t>
      </w:r>
      <w:r>
        <w:rPr>
          <w:rFonts w:hint="eastAsia" w:ascii="仿宋_GB2312" w:eastAsia="仿宋_GB2312"/>
          <w:kern w:val="2"/>
          <w:sz w:val="32"/>
          <w:szCs w:val="32"/>
          <w:lang w:val="en-US" w:eastAsia="zh-CN"/>
        </w:rPr>
        <w:t>4.5吨以上不足12吨的</w:t>
      </w:r>
      <w:r>
        <w:rPr>
          <w:rFonts w:hint="eastAsia" w:ascii="仿宋_GB2312" w:eastAsia="仿宋_GB2312"/>
          <w:kern w:val="2"/>
          <w:sz w:val="32"/>
          <w:szCs w:val="32"/>
          <w:lang w:eastAsia="zh-CN"/>
        </w:rPr>
        <w:t>）</w:t>
      </w:r>
      <w:r>
        <w:rPr>
          <w:rFonts w:hint="eastAsia" w:ascii="仿宋_GB2312" w:eastAsia="仿宋_GB2312"/>
          <w:kern w:val="2"/>
          <w:sz w:val="32"/>
          <w:szCs w:val="32"/>
        </w:rPr>
        <w:t>、重型</w:t>
      </w:r>
      <w:r>
        <w:rPr>
          <w:rFonts w:hint="eastAsia" w:ascii="仿宋_GB2312" w:eastAsia="仿宋_GB2312"/>
          <w:kern w:val="2"/>
          <w:sz w:val="32"/>
          <w:szCs w:val="32"/>
          <w:lang w:eastAsia="zh-CN"/>
        </w:rPr>
        <w:t>（总质量</w:t>
      </w:r>
      <w:r>
        <w:rPr>
          <w:rFonts w:hint="eastAsia" w:ascii="仿宋_GB2312" w:eastAsia="仿宋_GB2312"/>
          <w:kern w:val="2"/>
          <w:sz w:val="32"/>
          <w:szCs w:val="32"/>
          <w:lang w:val="en-US" w:eastAsia="zh-CN"/>
        </w:rPr>
        <w:t>12吨以上及重型牵引车</w:t>
      </w:r>
      <w:r>
        <w:rPr>
          <w:rFonts w:hint="eastAsia" w:ascii="仿宋_GB2312" w:eastAsia="仿宋_GB2312"/>
          <w:kern w:val="2"/>
          <w:sz w:val="32"/>
          <w:szCs w:val="32"/>
          <w:lang w:eastAsia="zh-CN"/>
        </w:rPr>
        <w:t>）</w:t>
      </w:r>
      <w:r>
        <w:rPr>
          <w:rFonts w:hint="eastAsia" w:ascii="仿宋_GB2312" w:eastAsia="仿宋_GB2312"/>
          <w:kern w:val="2"/>
          <w:sz w:val="32"/>
          <w:szCs w:val="32"/>
        </w:rPr>
        <w:t>营运柴油货车;</w:t>
      </w:r>
    </w:p>
    <w:p w14:paraId="39BF1DAC">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sz w:val="32"/>
          <w:szCs w:val="32"/>
          <w:lang w:val="en-US"/>
        </w:rPr>
      </w:pPr>
      <w:r>
        <w:rPr>
          <w:rFonts w:hint="eastAsia" w:ascii="仿宋_GB2312" w:eastAsia="仿宋_GB2312"/>
          <w:kern w:val="2"/>
          <w:sz w:val="32"/>
          <w:szCs w:val="32"/>
          <w:lang w:val="en-US" w:eastAsia="zh-CN"/>
        </w:rPr>
        <w:t>2、</w:t>
      </w:r>
      <w:r>
        <w:rPr>
          <w:rFonts w:hint="eastAsia" w:ascii="仿宋_GB2312" w:eastAsia="仿宋_GB2312"/>
          <w:kern w:val="2"/>
          <w:sz w:val="32"/>
          <w:szCs w:val="32"/>
          <w:lang w:eastAsia="zh-CN"/>
        </w:rPr>
        <w:t>强制报废期在</w:t>
      </w:r>
      <w:r>
        <w:rPr>
          <w:rFonts w:hint="eastAsia" w:ascii="仿宋_GB2312" w:eastAsia="仿宋_GB2312"/>
          <w:kern w:val="2"/>
          <w:sz w:val="32"/>
          <w:szCs w:val="32"/>
          <w:lang w:val="en-US" w:eastAsia="zh-CN"/>
        </w:rPr>
        <w:t>2025年7月31日以后；</w:t>
      </w:r>
    </w:p>
    <w:p w14:paraId="0CFB03D0">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3、持有公安机关开具的《机动车注销证明》和具有资质的报废机动车回收拆解企业开具的《报废机动车回收证明》</w:t>
      </w:r>
      <w:r>
        <w:rPr>
          <w:rFonts w:hint="eastAsia" w:ascii="仿宋_GB2312" w:eastAsia="仿宋_GB2312"/>
          <w:kern w:val="2"/>
          <w:sz w:val="32"/>
          <w:szCs w:val="32"/>
          <w:lang w:eastAsia="zh-CN"/>
        </w:rPr>
        <w:t>（以上证明时间需在</w:t>
      </w:r>
      <w:r>
        <w:rPr>
          <w:rFonts w:hint="eastAsia" w:ascii="仿宋_GB2312" w:eastAsia="仿宋_GB2312"/>
          <w:kern w:val="2"/>
          <w:sz w:val="32"/>
          <w:szCs w:val="32"/>
          <w:lang w:val="en-US" w:eastAsia="zh-CN"/>
        </w:rPr>
        <w:t>2024年7月31日-2024年12月31日</w:t>
      </w:r>
      <w:r>
        <w:rPr>
          <w:rFonts w:hint="eastAsia" w:ascii="仿宋_GB2312" w:eastAsia="仿宋_GB2312"/>
          <w:kern w:val="2"/>
          <w:sz w:val="32"/>
          <w:szCs w:val="32"/>
          <w:lang w:eastAsia="zh-CN"/>
        </w:rPr>
        <w:t>）</w:t>
      </w:r>
      <w:r>
        <w:rPr>
          <w:rFonts w:hint="eastAsia" w:ascii="仿宋_GB2312" w:eastAsia="仿宋_GB2312"/>
          <w:kern w:val="2"/>
          <w:sz w:val="32"/>
          <w:szCs w:val="32"/>
          <w:lang w:val="en-US" w:eastAsia="zh-CN"/>
        </w:rPr>
        <w:t>，及车辆注销前，交通运输主管部门发放的有效《道路运输证》。</w:t>
      </w:r>
    </w:p>
    <w:p w14:paraId="0B56A13D">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2"/>
          <w:sz w:val="32"/>
          <w:szCs w:val="32"/>
          <w:lang w:eastAsia="zh-CN"/>
        </w:rPr>
      </w:pPr>
      <w:r>
        <w:rPr>
          <w:rFonts w:hint="eastAsia" w:ascii="楷体_GB2312" w:hAnsi="楷体_GB2312" w:eastAsia="楷体_GB2312" w:cs="楷体_GB2312"/>
          <w:b/>
          <w:bCs/>
          <w:kern w:val="2"/>
          <w:sz w:val="32"/>
          <w:szCs w:val="32"/>
          <w:lang w:val="en-US" w:eastAsia="zh-CN"/>
        </w:rPr>
        <w:t>（二）</w:t>
      </w:r>
      <w:r>
        <w:rPr>
          <w:rFonts w:hint="eastAsia" w:ascii="楷体_GB2312" w:hAnsi="楷体_GB2312" w:eastAsia="楷体_GB2312" w:cs="楷体_GB2312"/>
          <w:b/>
          <w:bCs/>
          <w:kern w:val="2"/>
          <w:sz w:val="32"/>
          <w:szCs w:val="32"/>
          <w:lang w:eastAsia="zh-CN"/>
        </w:rPr>
        <w:t>报废并更新货车要符合以下条件</w:t>
      </w:r>
    </w:p>
    <w:p w14:paraId="12A53801">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rPr>
      </w:pPr>
      <w:r>
        <w:rPr>
          <w:rFonts w:hint="eastAsia" w:ascii="仿宋_GB2312" w:eastAsia="仿宋_GB2312"/>
          <w:kern w:val="2"/>
          <w:sz w:val="32"/>
          <w:szCs w:val="32"/>
          <w:lang w:val="en-US" w:eastAsia="zh-CN"/>
        </w:rPr>
        <w:t>1、</w:t>
      </w:r>
      <w:r>
        <w:rPr>
          <w:rFonts w:hint="eastAsia" w:ascii="仿宋_GB2312" w:eastAsia="仿宋_GB2312"/>
          <w:kern w:val="2"/>
          <w:sz w:val="32"/>
          <w:szCs w:val="32"/>
        </w:rPr>
        <w:t>报废车辆应当符合前述（一）中报废车辆要求；</w:t>
      </w:r>
    </w:p>
    <w:p w14:paraId="77BD4627">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lang w:val="en-US" w:eastAsia="zh-CN"/>
        </w:rPr>
      </w:pPr>
      <w:r>
        <w:rPr>
          <w:rFonts w:hint="eastAsia" w:ascii="仿宋_GB2312" w:eastAsia="仿宋_GB2312"/>
          <w:kern w:val="2"/>
          <w:sz w:val="32"/>
          <w:szCs w:val="32"/>
          <w:lang w:val="en-US" w:eastAsia="zh-CN"/>
        </w:rPr>
        <w:t>2、新购置车辆应当为注册登记的国六排放标准或新能源车辆，并持有交通运输主管部门发放的有效《道路运输证》。其中，新能源车辆应纳入《减免车辆购置税的新能源汽车车型目录》；</w:t>
      </w:r>
    </w:p>
    <w:p w14:paraId="501A165D">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rPr>
      </w:pPr>
      <w:r>
        <w:rPr>
          <w:rFonts w:hint="eastAsia" w:ascii="仿宋_GB2312" w:eastAsia="仿宋_GB2312"/>
          <w:kern w:val="2"/>
          <w:sz w:val="32"/>
          <w:szCs w:val="32"/>
          <w:lang w:val="en-US" w:eastAsia="zh-CN"/>
        </w:rPr>
        <w:t>3、</w:t>
      </w: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新购置车辆与报废车辆注册登记所有人一致。</w:t>
      </w:r>
    </w:p>
    <w:p w14:paraId="274F6D1A">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kern w:val="2"/>
          <w:sz w:val="32"/>
          <w:szCs w:val="32"/>
          <w:lang w:eastAsia="zh-CN"/>
        </w:rPr>
      </w:pPr>
      <w:r>
        <w:rPr>
          <w:rFonts w:hint="eastAsia" w:ascii="楷体_GB2312" w:hAnsi="楷体_GB2312" w:eastAsia="楷体_GB2312" w:cs="楷体_GB2312"/>
          <w:b/>
          <w:bCs/>
          <w:kern w:val="2"/>
          <w:sz w:val="32"/>
          <w:szCs w:val="32"/>
          <w:lang w:eastAsia="zh-CN"/>
        </w:rPr>
        <w:t>（三）新购置新能源城市冷链配送货车要符合以下条件</w:t>
      </w:r>
    </w:p>
    <w:p w14:paraId="6222EFE0">
      <w:pPr>
        <w:pStyle w:val="3"/>
        <w:keepNext w:val="0"/>
        <w:keepLines w:val="0"/>
        <w:pageBreakBefore w:val="0"/>
        <w:widowControl/>
        <w:suppressLineNumbers w:val="0"/>
        <w:suppressAutoHyphen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eastAsia="仿宋_GB2312"/>
          <w:kern w:val="2"/>
          <w:sz w:val="32"/>
          <w:szCs w:val="32"/>
        </w:rPr>
      </w:pPr>
      <w:r>
        <w:rPr>
          <w:rFonts w:hint="eastAsia" w:ascii="仿宋_GB2312" w:eastAsia="仿宋_GB2312"/>
          <w:kern w:val="2"/>
          <w:sz w:val="32"/>
          <w:szCs w:val="32"/>
          <w:lang w:eastAsia="zh-CN"/>
        </w:rPr>
        <w:t>新购置车辆应当为注册登记的新能源城市冷链配送货车（</w:t>
      </w:r>
      <w:r>
        <w:rPr>
          <w:rFonts w:hint="eastAsia" w:ascii="仿宋_GB2312" w:eastAsia="仿宋_GB2312"/>
          <w:kern w:val="2"/>
          <w:sz w:val="32"/>
          <w:szCs w:val="32"/>
        </w:rPr>
        <w:t>须符合《城市物流配送汽车选型技术要求》（GB/T 29912），并纳入《减免车辆购置税的新能源汽车车型目录》</w:t>
      </w:r>
      <w:r>
        <w:rPr>
          <w:rFonts w:hint="eastAsia" w:ascii="仿宋_GB2312" w:eastAsia="仿宋_GB2312"/>
          <w:kern w:val="2"/>
          <w:sz w:val="32"/>
          <w:szCs w:val="32"/>
          <w:lang w:eastAsia="zh-CN"/>
        </w:rPr>
        <w:t>）</w:t>
      </w:r>
      <w:r>
        <w:rPr>
          <w:rFonts w:hint="eastAsia" w:ascii="仿宋_GB2312" w:eastAsia="仿宋_GB2312"/>
          <w:kern w:val="2"/>
          <w:sz w:val="32"/>
          <w:szCs w:val="32"/>
        </w:rPr>
        <w:t>，且持有效《道路运输证》。</w:t>
      </w:r>
    </w:p>
    <w:p w14:paraId="7E198A7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黑体" w:hAnsi="Times New Roman" w:eastAsia="黑体" w:cs="Times New Roman"/>
          <w:snapToGrid/>
          <w:color w:val="auto"/>
          <w:spacing w:val="0"/>
          <w:w w:val="100"/>
          <w:kern w:val="0"/>
          <w:position w:val="0"/>
          <w:sz w:val="32"/>
          <w:szCs w:val="32"/>
          <w:u w:val="none" w:color="auto"/>
          <w:vertAlign w:val="baseline"/>
          <w:lang w:val="en-US" w:eastAsia="zh-CN" w:bidi="ar-SA"/>
        </w:rPr>
      </w:pPr>
      <w:r>
        <w:rPr>
          <w:rFonts w:hint="eastAsia" w:ascii="黑体" w:hAnsi="Times New Roman" w:eastAsia="黑体" w:cs="Times New Roman"/>
          <w:snapToGrid/>
          <w:color w:val="auto"/>
          <w:spacing w:val="0"/>
          <w:w w:val="100"/>
          <w:kern w:val="0"/>
          <w:position w:val="0"/>
          <w:sz w:val="32"/>
          <w:szCs w:val="32"/>
          <w:u w:val="none" w:color="auto"/>
          <w:vertAlign w:val="baseline"/>
          <w:lang w:val="en-US" w:eastAsia="zh-CN" w:bidi="ar-SA"/>
        </w:rPr>
        <w:t>三、补贴标准</w:t>
      </w:r>
    </w:p>
    <w:p w14:paraId="7E49918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pPr>
      <w:r>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t>（一）提前报废老旧营运柴油货车补贴标准</w:t>
      </w:r>
    </w:p>
    <w:tbl>
      <w:tblPr>
        <w:tblStyle w:val="4"/>
        <w:tblW w:w="0" w:type="auto"/>
        <w:tblInd w:w="11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1929"/>
        <w:gridCol w:w="3712"/>
        <w:gridCol w:w="3193"/>
      </w:tblGrid>
      <w:tr w14:paraId="686F1BE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40" w:hRule="atLeast"/>
        </w:trPr>
        <w:tc>
          <w:tcPr>
            <w:tcW w:w="1929" w:type="dxa"/>
            <w:tcBorders>
              <w:top w:val="single" w:color="auto" w:sz="4" w:space="0"/>
              <w:left w:val="single" w:color="auto" w:sz="4" w:space="0"/>
              <w:bottom w:val="single" w:color="auto" w:sz="4" w:space="0"/>
              <w:right w:val="single" w:color="auto" w:sz="4" w:space="0"/>
            </w:tcBorders>
            <w:noWrap w:val="0"/>
            <w:vAlign w:val="center"/>
          </w:tcPr>
          <w:p w14:paraId="10BBAE4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车辆类型</w:t>
            </w:r>
          </w:p>
        </w:tc>
        <w:tc>
          <w:tcPr>
            <w:tcW w:w="3712" w:type="dxa"/>
            <w:tcBorders>
              <w:top w:val="single" w:color="auto" w:sz="4" w:space="0"/>
              <w:left w:val="nil"/>
              <w:bottom w:val="single" w:color="auto" w:sz="4" w:space="0"/>
              <w:right w:val="single" w:color="auto" w:sz="4" w:space="0"/>
            </w:tcBorders>
            <w:noWrap w:val="0"/>
            <w:vAlign w:val="center"/>
          </w:tcPr>
          <w:p w14:paraId="3B6865C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960" w:firstLineChars="300"/>
              <w:jc w:val="both"/>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提前报废时间</w:t>
            </w:r>
          </w:p>
        </w:tc>
        <w:tc>
          <w:tcPr>
            <w:tcW w:w="3193" w:type="dxa"/>
            <w:tcBorders>
              <w:top w:val="single" w:color="auto" w:sz="4" w:space="0"/>
              <w:left w:val="nil"/>
              <w:bottom w:val="single" w:color="auto" w:sz="4" w:space="0"/>
              <w:right w:val="single" w:color="auto" w:sz="4" w:space="0"/>
            </w:tcBorders>
            <w:noWrap w:val="0"/>
            <w:vAlign w:val="center"/>
          </w:tcPr>
          <w:p w14:paraId="454B01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补贴标准（万元/辆）</w:t>
            </w:r>
          </w:p>
        </w:tc>
      </w:tr>
      <w:tr w14:paraId="0288B25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0" w:hRule="atLeast"/>
        </w:trPr>
        <w:tc>
          <w:tcPr>
            <w:tcW w:w="1929" w:type="dxa"/>
            <w:vMerge w:val="restart"/>
            <w:tcBorders>
              <w:top w:val="nil"/>
              <w:left w:val="single" w:color="auto" w:sz="4" w:space="0"/>
              <w:bottom w:val="single" w:color="auto" w:sz="4" w:space="0"/>
              <w:right w:val="single" w:color="auto" w:sz="4" w:space="0"/>
            </w:tcBorders>
            <w:noWrap w:val="0"/>
            <w:vAlign w:val="center"/>
          </w:tcPr>
          <w:p w14:paraId="3CFF5A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中型</w:t>
            </w:r>
          </w:p>
        </w:tc>
        <w:tc>
          <w:tcPr>
            <w:tcW w:w="3712" w:type="dxa"/>
            <w:tcBorders>
              <w:top w:val="single" w:color="auto" w:sz="4" w:space="0"/>
              <w:left w:val="nil"/>
              <w:bottom w:val="single" w:color="auto" w:sz="4" w:space="0"/>
              <w:right w:val="single" w:color="auto" w:sz="4" w:space="0"/>
            </w:tcBorders>
            <w:noWrap w:val="0"/>
            <w:vAlign w:val="center"/>
          </w:tcPr>
          <w:p w14:paraId="32B9DF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满1年（含）不足2年</w:t>
            </w:r>
          </w:p>
        </w:tc>
        <w:tc>
          <w:tcPr>
            <w:tcW w:w="3193" w:type="dxa"/>
            <w:tcBorders>
              <w:top w:val="single" w:color="auto" w:sz="4" w:space="0"/>
              <w:left w:val="nil"/>
              <w:bottom w:val="single" w:color="auto" w:sz="4" w:space="0"/>
              <w:right w:val="single" w:color="auto" w:sz="4" w:space="0"/>
            </w:tcBorders>
            <w:noWrap w:val="0"/>
            <w:vAlign w:val="center"/>
          </w:tcPr>
          <w:p w14:paraId="2F2E28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1.0</w:t>
            </w:r>
          </w:p>
        </w:tc>
      </w:tr>
      <w:tr w14:paraId="54F7353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0" w:hRule="atLeast"/>
        </w:trPr>
        <w:tc>
          <w:tcPr>
            <w:tcW w:w="1929" w:type="dxa"/>
            <w:vMerge w:val="continue"/>
            <w:tcBorders>
              <w:top w:val="nil"/>
              <w:left w:val="single" w:color="auto" w:sz="4" w:space="0"/>
              <w:bottom w:val="single" w:color="auto" w:sz="4" w:space="0"/>
              <w:right w:val="single" w:color="auto" w:sz="4" w:space="0"/>
            </w:tcBorders>
            <w:noWrap w:val="0"/>
            <w:vAlign w:val="center"/>
          </w:tcPr>
          <w:p w14:paraId="38AECFB1">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p>
        </w:tc>
        <w:tc>
          <w:tcPr>
            <w:tcW w:w="3712" w:type="dxa"/>
            <w:tcBorders>
              <w:top w:val="single" w:color="auto" w:sz="4" w:space="0"/>
              <w:left w:val="nil"/>
              <w:bottom w:val="single" w:color="auto" w:sz="4" w:space="0"/>
              <w:right w:val="single" w:color="auto" w:sz="4" w:space="0"/>
            </w:tcBorders>
            <w:noWrap w:val="0"/>
            <w:vAlign w:val="center"/>
          </w:tcPr>
          <w:p w14:paraId="3C984A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满2年（含）不足4年</w:t>
            </w:r>
          </w:p>
        </w:tc>
        <w:tc>
          <w:tcPr>
            <w:tcW w:w="3193" w:type="dxa"/>
            <w:tcBorders>
              <w:top w:val="single" w:color="auto" w:sz="4" w:space="0"/>
              <w:left w:val="nil"/>
              <w:bottom w:val="single" w:color="auto" w:sz="4" w:space="0"/>
              <w:right w:val="single" w:color="auto" w:sz="4" w:space="0"/>
            </w:tcBorders>
            <w:noWrap w:val="0"/>
            <w:vAlign w:val="center"/>
          </w:tcPr>
          <w:p w14:paraId="0DD8F2A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1.8</w:t>
            </w:r>
          </w:p>
        </w:tc>
      </w:tr>
      <w:tr w14:paraId="4762910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0" w:hRule="atLeast"/>
        </w:trPr>
        <w:tc>
          <w:tcPr>
            <w:tcW w:w="1929" w:type="dxa"/>
            <w:vMerge w:val="continue"/>
            <w:tcBorders>
              <w:top w:val="nil"/>
              <w:left w:val="single" w:color="auto" w:sz="4" w:space="0"/>
              <w:bottom w:val="single" w:color="auto" w:sz="4" w:space="0"/>
              <w:right w:val="single" w:color="auto" w:sz="4" w:space="0"/>
            </w:tcBorders>
            <w:noWrap w:val="0"/>
            <w:vAlign w:val="center"/>
          </w:tcPr>
          <w:p w14:paraId="17E19167">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p>
        </w:tc>
        <w:tc>
          <w:tcPr>
            <w:tcW w:w="3712" w:type="dxa"/>
            <w:tcBorders>
              <w:top w:val="single" w:color="auto" w:sz="4" w:space="0"/>
              <w:left w:val="nil"/>
              <w:bottom w:val="single" w:color="auto" w:sz="4" w:space="0"/>
              <w:right w:val="single" w:color="auto" w:sz="4" w:space="0"/>
            </w:tcBorders>
            <w:noWrap w:val="0"/>
            <w:vAlign w:val="center"/>
          </w:tcPr>
          <w:p w14:paraId="4D762E8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满4年（含）以上</w:t>
            </w:r>
          </w:p>
        </w:tc>
        <w:tc>
          <w:tcPr>
            <w:tcW w:w="3193" w:type="dxa"/>
            <w:tcBorders>
              <w:top w:val="single" w:color="auto" w:sz="4" w:space="0"/>
              <w:left w:val="nil"/>
              <w:bottom w:val="single" w:color="auto" w:sz="4" w:space="0"/>
              <w:right w:val="single" w:color="auto" w:sz="4" w:space="0"/>
            </w:tcBorders>
            <w:noWrap w:val="0"/>
            <w:vAlign w:val="center"/>
          </w:tcPr>
          <w:p w14:paraId="6C31200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2.5</w:t>
            </w:r>
          </w:p>
        </w:tc>
      </w:tr>
      <w:tr w14:paraId="675820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27" w:hRule="atLeast"/>
        </w:trPr>
        <w:tc>
          <w:tcPr>
            <w:tcW w:w="1929" w:type="dxa"/>
            <w:vMerge w:val="restart"/>
            <w:tcBorders>
              <w:top w:val="nil"/>
              <w:left w:val="single" w:color="auto" w:sz="4" w:space="0"/>
              <w:bottom w:val="single" w:color="auto" w:sz="4" w:space="0"/>
              <w:right w:val="single" w:color="auto" w:sz="4" w:space="0"/>
            </w:tcBorders>
            <w:noWrap w:val="0"/>
            <w:vAlign w:val="center"/>
          </w:tcPr>
          <w:p w14:paraId="2C390AF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重型</w:t>
            </w:r>
          </w:p>
        </w:tc>
        <w:tc>
          <w:tcPr>
            <w:tcW w:w="3712" w:type="dxa"/>
            <w:tcBorders>
              <w:top w:val="single" w:color="auto" w:sz="4" w:space="0"/>
              <w:left w:val="nil"/>
              <w:bottom w:val="single" w:color="auto" w:sz="4" w:space="0"/>
              <w:right w:val="single" w:color="auto" w:sz="4" w:space="0"/>
            </w:tcBorders>
            <w:noWrap w:val="0"/>
            <w:vAlign w:val="center"/>
          </w:tcPr>
          <w:p w14:paraId="7646AC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满1年（含）不足2年</w:t>
            </w:r>
          </w:p>
        </w:tc>
        <w:tc>
          <w:tcPr>
            <w:tcW w:w="3193" w:type="dxa"/>
            <w:tcBorders>
              <w:top w:val="single" w:color="auto" w:sz="4" w:space="0"/>
              <w:left w:val="nil"/>
              <w:bottom w:val="single" w:color="auto" w:sz="4" w:space="0"/>
              <w:right w:val="single" w:color="auto" w:sz="4" w:space="0"/>
            </w:tcBorders>
            <w:noWrap w:val="0"/>
            <w:vAlign w:val="center"/>
          </w:tcPr>
          <w:p w14:paraId="4D78417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1.2</w:t>
            </w:r>
          </w:p>
        </w:tc>
      </w:tr>
      <w:tr w14:paraId="1E95E1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0" w:hRule="atLeast"/>
        </w:trPr>
        <w:tc>
          <w:tcPr>
            <w:tcW w:w="1929" w:type="dxa"/>
            <w:vMerge w:val="continue"/>
            <w:tcBorders>
              <w:top w:val="nil"/>
              <w:left w:val="single" w:color="auto" w:sz="4" w:space="0"/>
              <w:bottom w:val="single" w:color="auto" w:sz="4" w:space="0"/>
              <w:right w:val="single" w:color="auto" w:sz="4" w:space="0"/>
            </w:tcBorders>
            <w:noWrap w:val="0"/>
            <w:vAlign w:val="center"/>
          </w:tcPr>
          <w:p w14:paraId="73987314">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p>
        </w:tc>
        <w:tc>
          <w:tcPr>
            <w:tcW w:w="3712" w:type="dxa"/>
            <w:tcBorders>
              <w:top w:val="single" w:color="auto" w:sz="4" w:space="0"/>
              <w:left w:val="nil"/>
              <w:bottom w:val="single" w:color="auto" w:sz="4" w:space="0"/>
              <w:right w:val="single" w:color="auto" w:sz="4" w:space="0"/>
            </w:tcBorders>
            <w:noWrap w:val="0"/>
            <w:vAlign w:val="center"/>
          </w:tcPr>
          <w:p w14:paraId="73C83F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满2年（含）不足4年</w:t>
            </w:r>
          </w:p>
        </w:tc>
        <w:tc>
          <w:tcPr>
            <w:tcW w:w="3193" w:type="dxa"/>
            <w:tcBorders>
              <w:top w:val="single" w:color="auto" w:sz="4" w:space="0"/>
              <w:left w:val="nil"/>
              <w:bottom w:val="single" w:color="auto" w:sz="4" w:space="0"/>
              <w:right w:val="single" w:color="auto" w:sz="4" w:space="0"/>
            </w:tcBorders>
            <w:noWrap w:val="0"/>
            <w:vAlign w:val="center"/>
          </w:tcPr>
          <w:p w14:paraId="68D425D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3.5</w:t>
            </w:r>
          </w:p>
        </w:tc>
      </w:tr>
      <w:tr w14:paraId="3D208E7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280" w:hRule="atLeast"/>
        </w:trPr>
        <w:tc>
          <w:tcPr>
            <w:tcW w:w="1929" w:type="dxa"/>
            <w:vMerge w:val="continue"/>
            <w:tcBorders>
              <w:top w:val="nil"/>
              <w:left w:val="single" w:color="auto" w:sz="4" w:space="0"/>
              <w:bottom w:val="single" w:color="auto" w:sz="4" w:space="0"/>
              <w:right w:val="single" w:color="auto" w:sz="4" w:space="0"/>
            </w:tcBorders>
            <w:noWrap w:val="0"/>
            <w:vAlign w:val="center"/>
          </w:tcPr>
          <w:p w14:paraId="0124719B">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p>
        </w:tc>
        <w:tc>
          <w:tcPr>
            <w:tcW w:w="3712" w:type="dxa"/>
            <w:tcBorders>
              <w:top w:val="single" w:color="auto" w:sz="4" w:space="0"/>
              <w:left w:val="nil"/>
              <w:bottom w:val="single" w:color="auto" w:sz="4" w:space="0"/>
              <w:right w:val="single" w:color="auto" w:sz="4" w:space="0"/>
            </w:tcBorders>
            <w:noWrap w:val="0"/>
            <w:vAlign w:val="center"/>
          </w:tcPr>
          <w:p w14:paraId="193D0A1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满4年（含）以上</w:t>
            </w:r>
          </w:p>
        </w:tc>
        <w:tc>
          <w:tcPr>
            <w:tcW w:w="3193" w:type="dxa"/>
            <w:tcBorders>
              <w:top w:val="single" w:color="auto" w:sz="4" w:space="0"/>
              <w:left w:val="nil"/>
              <w:bottom w:val="single" w:color="auto" w:sz="4" w:space="0"/>
              <w:right w:val="single" w:color="auto" w:sz="4" w:space="0"/>
            </w:tcBorders>
            <w:noWrap w:val="0"/>
            <w:vAlign w:val="center"/>
          </w:tcPr>
          <w:p w14:paraId="386A5DA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4.5</w:t>
            </w:r>
          </w:p>
        </w:tc>
      </w:tr>
    </w:tbl>
    <w:p w14:paraId="4712EFAE">
      <w:pPr>
        <w:pStyle w:val="2"/>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eastAsia="仿宋_GB2312"/>
          <w:b/>
          <w:bCs/>
          <w:kern w:val="2"/>
          <w:sz w:val="32"/>
          <w:szCs w:val="32"/>
          <w:lang w:eastAsia="zh-CN"/>
        </w:rPr>
      </w:pPr>
      <w:r>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t>（二）提前报废老旧营运货车并新购营运货车补贴标准</w:t>
      </w:r>
    </w:p>
    <w:p w14:paraId="50F7C73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宋体" w:hAnsi="Times New Roman" w:eastAsia="宋体" w:cs="Times New Roman"/>
          <w:snapToGrid/>
          <w:color w:val="auto"/>
          <w:spacing w:val="0"/>
          <w:w w:val="100"/>
          <w:kern w:val="0"/>
          <w:position w:val="0"/>
          <w:sz w:val="24"/>
          <w:szCs w:val="24"/>
          <w:u w:val="none" w:color="auto"/>
          <w:vertAlign w:val="baseline"/>
          <w:lang w:val="en-US" w:eastAsia="zh-CN" w:bidi="ar-SA"/>
        </w:rPr>
      </w:pP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报废并新购国六排放标准营运柴油货车补贴=提前报废老旧营运柴油货车补贴+新购国六排放标准营运柴油货车补贴；</w:t>
      </w:r>
    </w:p>
    <w:p w14:paraId="30B00B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pP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报废并新购新能源货车补贴=提前报废老旧营运柴油货车补贴+新购新能源营运货车补贴。</w:t>
      </w:r>
    </w:p>
    <w:p w14:paraId="4D1D5D9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pP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未提前报废仅新购国六排放标准营运柴油货车或新能源营运货车（新能源城市冷链配送货车除外）的，不纳入本方案补贴范围。</w:t>
      </w:r>
    </w:p>
    <w:p w14:paraId="03A6B9E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黑体" w:hAnsi="Times New Roman" w:eastAsia="黑体" w:cs="Times New Roman"/>
          <w:snapToGrid/>
          <w:color w:val="auto"/>
          <w:spacing w:val="0"/>
          <w:w w:val="100"/>
          <w:kern w:val="2"/>
          <w:position w:val="0"/>
          <w:sz w:val="28"/>
          <w:szCs w:val="28"/>
          <w:u w:val="none" w:color="auto"/>
          <w:vertAlign w:val="baseline"/>
          <w:lang w:val="en-US" w:eastAsia="zh-CN" w:bidi="ar-SA"/>
        </w:rPr>
      </w:pP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其中，新购国六排放标准营运柴油货车或新能源营运货车补贴标准见表2。</w:t>
      </w:r>
    </w:p>
    <w:tbl>
      <w:tblPr>
        <w:tblStyle w:val="4"/>
        <w:tblW w:w="0" w:type="auto"/>
        <w:tblInd w:w="114"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0"/>
        <w:gridCol w:w="1903"/>
        <w:gridCol w:w="3516"/>
        <w:gridCol w:w="2747"/>
      </w:tblGrid>
      <w:tr w14:paraId="07DD61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0" w:hRule="atLeast"/>
        </w:trPr>
        <w:tc>
          <w:tcPr>
            <w:tcW w:w="2523" w:type="dxa"/>
            <w:gridSpan w:val="2"/>
            <w:tcBorders>
              <w:top w:val="single" w:color="auto" w:sz="4" w:space="0"/>
              <w:left w:val="single" w:color="auto" w:sz="4" w:space="0"/>
              <w:bottom w:val="single" w:color="auto" w:sz="4" w:space="0"/>
              <w:right w:val="single" w:color="auto" w:sz="4" w:space="0"/>
            </w:tcBorders>
            <w:noWrap w:val="0"/>
            <w:vAlign w:val="center"/>
          </w:tcPr>
          <w:p w14:paraId="5B40AF6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车辆类型</w:t>
            </w:r>
          </w:p>
        </w:tc>
        <w:tc>
          <w:tcPr>
            <w:tcW w:w="3516" w:type="dxa"/>
            <w:tcBorders>
              <w:top w:val="single" w:color="auto" w:sz="4" w:space="0"/>
              <w:left w:val="nil"/>
              <w:bottom w:val="single" w:color="auto" w:sz="4" w:space="0"/>
              <w:right w:val="single" w:color="auto" w:sz="4" w:space="0"/>
            </w:tcBorders>
            <w:noWrap w:val="0"/>
            <w:vAlign w:val="center"/>
          </w:tcPr>
          <w:p w14:paraId="0DD612E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新购国六排放标准营运</w:t>
            </w:r>
          </w:p>
          <w:p w14:paraId="3ED20B5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柴油货车补贴标准</w:t>
            </w:r>
          </w:p>
          <w:p w14:paraId="27A93E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（万元/辆）</w:t>
            </w:r>
          </w:p>
        </w:tc>
        <w:tc>
          <w:tcPr>
            <w:tcW w:w="2747" w:type="dxa"/>
            <w:tcBorders>
              <w:top w:val="single" w:color="auto" w:sz="4" w:space="0"/>
              <w:left w:val="nil"/>
              <w:bottom w:val="single" w:color="auto" w:sz="4" w:space="0"/>
              <w:right w:val="single" w:color="auto" w:sz="4" w:space="0"/>
            </w:tcBorders>
            <w:noWrap w:val="0"/>
            <w:vAlign w:val="center"/>
          </w:tcPr>
          <w:p w14:paraId="38DF94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新购新能源营运</w:t>
            </w:r>
          </w:p>
          <w:p w14:paraId="61982BA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货车补贴标准</w:t>
            </w:r>
          </w:p>
          <w:p w14:paraId="2AB312C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（万元/辆）</w:t>
            </w:r>
          </w:p>
        </w:tc>
      </w:tr>
      <w:tr w14:paraId="53DF838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0" w:hRule="atLeast"/>
        </w:trPr>
        <w:tc>
          <w:tcPr>
            <w:tcW w:w="2523" w:type="dxa"/>
            <w:gridSpan w:val="2"/>
            <w:tcBorders>
              <w:top w:val="single" w:color="auto" w:sz="4" w:space="0"/>
              <w:left w:val="single" w:color="auto" w:sz="4" w:space="0"/>
              <w:bottom w:val="single" w:color="auto" w:sz="4" w:space="0"/>
              <w:right w:val="single" w:color="auto" w:sz="4" w:space="0"/>
            </w:tcBorders>
            <w:noWrap w:val="0"/>
            <w:vAlign w:val="center"/>
          </w:tcPr>
          <w:p w14:paraId="69A125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960" w:firstLineChars="300"/>
              <w:jc w:val="both"/>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中型</w:t>
            </w:r>
          </w:p>
        </w:tc>
        <w:tc>
          <w:tcPr>
            <w:tcW w:w="3516" w:type="dxa"/>
            <w:tcBorders>
              <w:top w:val="single" w:color="auto" w:sz="4" w:space="0"/>
              <w:left w:val="nil"/>
              <w:bottom w:val="single" w:color="auto" w:sz="4" w:space="0"/>
              <w:right w:val="single" w:color="auto" w:sz="4" w:space="0"/>
            </w:tcBorders>
            <w:noWrap w:val="0"/>
            <w:vAlign w:val="center"/>
          </w:tcPr>
          <w:p w14:paraId="11B8DB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2.5</w:t>
            </w:r>
          </w:p>
        </w:tc>
        <w:tc>
          <w:tcPr>
            <w:tcW w:w="2747" w:type="dxa"/>
            <w:tcBorders>
              <w:top w:val="single" w:color="auto" w:sz="4" w:space="0"/>
              <w:left w:val="nil"/>
              <w:bottom w:val="single" w:color="auto" w:sz="4" w:space="0"/>
              <w:right w:val="single" w:color="auto" w:sz="4" w:space="0"/>
            </w:tcBorders>
            <w:noWrap w:val="0"/>
            <w:vAlign w:val="center"/>
          </w:tcPr>
          <w:p w14:paraId="325BE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3.5</w:t>
            </w:r>
          </w:p>
        </w:tc>
      </w:tr>
      <w:tr w14:paraId="044B650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0" w:hRule="atLeast"/>
        </w:trPr>
        <w:tc>
          <w:tcPr>
            <w:tcW w:w="620" w:type="dxa"/>
            <w:vMerge w:val="restart"/>
            <w:tcBorders>
              <w:top w:val="nil"/>
              <w:left w:val="single" w:color="auto" w:sz="4" w:space="0"/>
              <w:bottom w:val="single" w:color="auto" w:sz="4" w:space="0"/>
              <w:right w:val="single" w:color="auto" w:sz="4" w:space="0"/>
            </w:tcBorders>
            <w:noWrap w:val="0"/>
            <w:vAlign w:val="center"/>
          </w:tcPr>
          <w:p w14:paraId="5E4D9D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leftChars="0" w:right="0" w:firstLine="0" w:firstLineChars="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重型</w:t>
            </w:r>
          </w:p>
        </w:tc>
        <w:tc>
          <w:tcPr>
            <w:tcW w:w="1903" w:type="dxa"/>
            <w:tcBorders>
              <w:top w:val="single" w:color="auto" w:sz="4" w:space="0"/>
              <w:left w:val="nil"/>
              <w:bottom w:val="single" w:color="auto" w:sz="4" w:space="0"/>
              <w:right w:val="single" w:color="auto" w:sz="4" w:space="0"/>
            </w:tcBorders>
            <w:noWrap w:val="0"/>
            <w:vAlign w:val="center"/>
          </w:tcPr>
          <w:p w14:paraId="11049D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2轴</w:t>
            </w:r>
          </w:p>
        </w:tc>
        <w:tc>
          <w:tcPr>
            <w:tcW w:w="3516" w:type="dxa"/>
            <w:tcBorders>
              <w:top w:val="single" w:color="auto" w:sz="4" w:space="0"/>
              <w:left w:val="nil"/>
              <w:bottom w:val="single" w:color="auto" w:sz="4" w:space="0"/>
              <w:right w:val="single" w:color="auto" w:sz="4" w:space="0"/>
            </w:tcBorders>
            <w:noWrap w:val="0"/>
            <w:vAlign w:val="center"/>
          </w:tcPr>
          <w:p w14:paraId="7F5840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4.0</w:t>
            </w:r>
          </w:p>
        </w:tc>
        <w:tc>
          <w:tcPr>
            <w:tcW w:w="2747" w:type="dxa"/>
            <w:tcBorders>
              <w:top w:val="single" w:color="auto" w:sz="4" w:space="0"/>
              <w:left w:val="nil"/>
              <w:bottom w:val="single" w:color="auto" w:sz="4" w:space="0"/>
              <w:right w:val="single" w:color="auto" w:sz="4" w:space="0"/>
            </w:tcBorders>
            <w:noWrap w:val="0"/>
            <w:vAlign w:val="center"/>
          </w:tcPr>
          <w:p w14:paraId="3D7FA3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7.0</w:t>
            </w:r>
          </w:p>
        </w:tc>
      </w:tr>
      <w:tr w14:paraId="5E7AFB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254E3EBB">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p>
        </w:tc>
        <w:tc>
          <w:tcPr>
            <w:tcW w:w="1903" w:type="dxa"/>
            <w:tcBorders>
              <w:top w:val="single" w:color="auto" w:sz="4" w:space="0"/>
              <w:left w:val="nil"/>
              <w:bottom w:val="single" w:color="auto" w:sz="4" w:space="0"/>
              <w:right w:val="single" w:color="auto" w:sz="4" w:space="0"/>
            </w:tcBorders>
            <w:noWrap w:val="0"/>
            <w:vAlign w:val="center"/>
          </w:tcPr>
          <w:p w14:paraId="52C4DC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3轴</w:t>
            </w:r>
          </w:p>
        </w:tc>
        <w:tc>
          <w:tcPr>
            <w:tcW w:w="3516" w:type="dxa"/>
            <w:tcBorders>
              <w:top w:val="single" w:color="auto" w:sz="4" w:space="0"/>
              <w:left w:val="nil"/>
              <w:bottom w:val="single" w:color="auto" w:sz="4" w:space="0"/>
              <w:right w:val="single" w:color="auto" w:sz="4" w:space="0"/>
            </w:tcBorders>
            <w:noWrap w:val="0"/>
            <w:vAlign w:val="center"/>
          </w:tcPr>
          <w:p w14:paraId="3543EF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5.5</w:t>
            </w:r>
          </w:p>
        </w:tc>
        <w:tc>
          <w:tcPr>
            <w:tcW w:w="2747" w:type="dxa"/>
            <w:tcBorders>
              <w:top w:val="single" w:color="auto" w:sz="4" w:space="0"/>
              <w:left w:val="nil"/>
              <w:bottom w:val="single" w:color="auto" w:sz="4" w:space="0"/>
              <w:right w:val="single" w:color="auto" w:sz="4" w:space="0"/>
            </w:tcBorders>
            <w:noWrap w:val="0"/>
            <w:vAlign w:val="center"/>
          </w:tcPr>
          <w:p w14:paraId="671F597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8.5</w:t>
            </w:r>
          </w:p>
        </w:tc>
      </w:tr>
      <w:tr w14:paraId="7FF24EB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0" w:hRule="atLeast"/>
        </w:trPr>
        <w:tc>
          <w:tcPr>
            <w:tcW w:w="620" w:type="dxa"/>
            <w:vMerge w:val="continue"/>
            <w:tcBorders>
              <w:top w:val="nil"/>
              <w:left w:val="single" w:color="auto" w:sz="4" w:space="0"/>
              <w:bottom w:val="single" w:color="auto" w:sz="4" w:space="0"/>
              <w:right w:val="single" w:color="auto" w:sz="4" w:space="0"/>
            </w:tcBorders>
            <w:noWrap w:val="0"/>
            <w:vAlign w:val="center"/>
          </w:tcPr>
          <w:p w14:paraId="1AB74343">
            <w:pPr>
              <w:keepNext w:val="0"/>
              <w:keepLines w:val="0"/>
              <w:pageBreakBefore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p>
        </w:tc>
        <w:tc>
          <w:tcPr>
            <w:tcW w:w="1903" w:type="dxa"/>
            <w:tcBorders>
              <w:top w:val="single" w:color="auto" w:sz="4" w:space="0"/>
              <w:left w:val="nil"/>
              <w:bottom w:val="single" w:color="auto" w:sz="4" w:space="0"/>
              <w:right w:val="single" w:color="auto" w:sz="4" w:space="0"/>
            </w:tcBorders>
            <w:noWrap w:val="0"/>
            <w:vAlign w:val="center"/>
          </w:tcPr>
          <w:p w14:paraId="2D224A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both"/>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4轴及以上</w:t>
            </w:r>
          </w:p>
        </w:tc>
        <w:tc>
          <w:tcPr>
            <w:tcW w:w="3516" w:type="dxa"/>
            <w:tcBorders>
              <w:top w:val="single" w:color="auto" w:sz="4" w:space="0"/>
              <w:left w:val="nil"/>
              <w:bottom w:val="single" w:color="auto" w:sz="4" w:space="0"/>
              <w:right w:val="single" w:color="auto" w:sz="4" w:space="0"/>
            </w:tcBorders>
            <w:noWrap w:val="0"/>
            <w:vAlign w:val="center"/>
          </w:tcPr>
          <w:p w14:paraId="16EC4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6.5</w:t>
            </w:r>
          </w:p>
        </w:tc>
        <w:tc>
          <w:tcPr>
            <w:tcW w:w="2747" w:type="dxa"/>
            <w:tcBorders>
              <w:top w:val="single" w:color="auto" w:sz="4" w:space="0"/>
              <w:left w:val="nil"/>
              <w:bottom w:val="single" w:color="auto" w:sz="4" w:space="0"/>
              <w:right w:val="single" w:color="auto" w:sz="4" w:space="0"/>
            </w:tcBorders>
            <w:noWrap w:val="0"/>
            <w:vAlign w:val="center"/>
          </w:tcPr>
          <w:p w14:paraId="232423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right="0"/>
              <w:jc w:val="center"/>
              <w:textAlignment w:val="auto"/>
              <w:outlineLvl w:val="9"/>
              <w:rPr>
                <w:rFonts w:hint="eastAsia" w:ascii="仿宋_GB2312" w:hAnsi="仿宋_GB2312" w:eastAsia="仿宋_GB2312" w:cs="仿宋_GB2312"/>
                <w:b w:val="0"/>
                <w:i w:val="0"/>
                <w:strike w:val="0"/>
                <w:snapToGrid/>
                <w:color w:val="auto"/>
                <w:kern w:val="2"/>
                <w:position w:val="0"/>
                <w:sz w:val="32"/>
                <w:szCs w:val="32"/>
                <w:u w:val="none" w:color="auto"/>
                <w:lang w:val="en-US" w:eastAsia="zh-CN" w:bidi="ar-SA"/>
              </w:rPr>
            </w:pPr>
            <w:r>
              <w:rPr>
                <w:rFonts w:hint="eastAsia" w:ascii="仿宋_GB2312" w:hAnsi="仿宋_GB2312" w:eastAsia="仿宋_GB2312" w:cs="仿宋_GB2312"/>
                <w:b w:val="0"/>
                <w:i w:val="0"/>
                <w:strike w:val="0"/>
                <w:snapToGrid/>
                <w:color w:val="auto"/>
                <w:kern w:val="0"/>
                <w:position w:val="0"/>
                <w:sz w:val="32"/>
                <w:szCs w:val="32"/>
                <w:u w:val="none" w:color="auto"/>
                <w:lang w:val="en-US" w:eastAsia="zh-CN" w:bidi="ar-SA"/>
              </w:rPr>
              <w:t>9.5</w:t>
            </w:r>
          </w:p>
        </w:tc>
      </w:tr>
    </w:tbl>
    <w:p w14:paraId="5C9248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outlineLvl w:val="9"/>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pPr>
      <w:r>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t>（三）仅新购新能源城市冷链配送货车补贴标准</w:t>
      </w:r>
    </w:p>
    <w:p w14:paraId="4947CDBF">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eastAsia="仿宋_GB2312"/>
          <w:b/>
          <w:bCs/>
          <w:kern w:val="2"/>
          <w:sz w:val="32"/>
          <w:szCs w:val="32"/>
          <w:lang w:eastAsia="zh-CN"/>
        </w:rPr>
      </w:pPr>
      <w:r>
        <w:rPr>
          <w:rFonts w:hint="eastAsia" w:ascii="仿宋_GB2312" w:hAnsi="Times New Roman" w:eastAsia="仿宋_GB2312" w:cs="Times New Roman"/>
          <w:snapToGrid/>
          <w:color w:val="auto"/>
          <w:spacing w:val="0"/>
          <w:w w:val="100"/>
          <w:kern w:val="0"/>
          <w:position w:val="0"/>
          <w:sz w:val="32"/>
          <w:szCs w:val="32"/>
          <w:u w:val="none" w:color="auto"/>
          <w:vertAlign w:val="baseline"/>
          <w:lang w:val="en-US" w:eastAsia="zh-CN" w:bidi="ar-SA"/>
        </w:rPr>
        <w:t>仅新购新能源城市冷链配送货车补贴标准为3.5万元/辆。</w:t>
      </w:r>
    </w:p>
    <w:p w14:paraId="7C4F0288">
      <w:pPr>
        <w:pStyle w:val="2"/>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Times New Roman" w:eastAsia="黑体" w:cs="Times New Roman"/>
          <w:snapToGrid/>
          <w:color w:val="auto"/>
          <w:spacing w:val="0"/>
          <w:w w:val="100"/>
          <w:kern w:val="0"/>
          <w:position w:val="0"/>
          <w:sz w:val="32"/>
          <w:szCs w:val="32"/>
          <w:u w:val="none" w:color="auto"/>
          <w:vertAlign w:val="baseline"/>
          <w:lang w:val="en-US" w:eastAsia="zh-CN" w:bidi="ar-SA"/>
        </w:rPr>
      </w:pPr>
      <w:r>
        <w:rPr>
          <w:rFonts w:hint="eastAsia" w:ascii="黑体" w:hAnsi="Times New Roman" w:eastAsia="黑体" w:cs="Times New Roman"/>
          <w:snapToGrid/>
          <w:color w:val="auto"/>
          <w:spacing w:val="0"/>
          <w:w w:val="100"/>
          <w:kern w:val="0"/>
          <w:position w:val="0"/>
          <w:sz w:val="32"/>
          <w:szCs w:val="32"/>
          <w:u w:val="none" w:color="auto"/>
          <w:vertAlign w:val="baseline"/>
          <w:lang w:val="en-US" w:eastAsia="zh-CN" w:bidi="ar-SA"/>
        </w:rPr>
        <w:t>四、报废更新资金申请程序</w:t>
      </w:r>
    </w:p>
    <w:p w14:paraId="4D5A2E65">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kern w:val="2"/>
          <w:sz w:val="32"/>
          <w:szCs w:val="32"/>
          <w:lang w:val="en-US" w:eastAsia="zh-CN"/>
        </w:rPr>
        <w:t>（一）仅报废国三及以下排放标准</w:t>
      </w:r>
      <w:r>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t>营运柴油货车</w:t>
      </w:r>
    </w:p>
    <w:p w14:paraId="2B93813E">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pacing w:val="0"/>
          <w:kern w:val="0"/>
          <w:sz w:val="32"/>
          <w:szCs w:val="32"/>
          <w:lang w:eastAsia="zh-CN"/>
        </w:rPr>
      </w:pPr>
      <w:r>
        <w:rPr>
          <w:rFonts w:hint="eastAsia" w:ascii="仿宋_GB2312" w:eastAsia="仿宋_GB2312"/>
          <w:kern w:val="2"/>
          <w:sz w:val="32"/>
          <w:szCs w:val="32"/>
          <w:lang w:val="en-US" w:eastAsia="zh-CN"/>
        </w:rPr>
        <w:t>1、</w:t>
      </w:r>
      <w:r>
        <w:rPr>
          <w:rFonts w:hint="eastAsia" w:ascii="仿宋_GB2312" w:eastAsia="仿宋_GB2312"/>
          <w:spacing w:val="0"/>
          <w:kern w:val="0"/>
          <w:sz w:val="32"/>
          <w:szCs w:val="32"/>
          <w:lang w:val="en-US" w:eastAsia="zh-CN"/>
        </w:rPr>
        <w:t>为加快报废更新老旧营运货车，凡车辆所有人将符合条件的车辆交至淮南市境内取得资质认定的回收拆解企业，可享受“一站式”服务</w:t>
      </w:r>
      <w:r>
        <w:rPr>
          <w:rFonts w:hint="eastAsia" w:ascii="仿宋_GB2312" w:eastAsia="仿宋_GB2312"/>
          <w:spacing w:val="0"/>
          <w:kern w:val="0"/>
          <w:sz w:val="32"/>
          <w:szCs w:val="32"/>
          <w:lang w:eastAsia="zh-CN"/>
        </w:rPr>
        <w:t>，</w:t>
      </w:r>
      <w:r>
        <w:rPr>
          <w:rFonts w:hint="eastAsia" w:ascii="仿宋_GB2312" w:hAnsi="仿宋_GB2312" w:eastAsia="仿宋_GB2312" w:cs="仿宋_GB2312"/>
          <w:sz w:val="32"/>
          <w:szCs w:val="32"/>
        </w:rPr>
        <w:t>代为办理《报废机动车回收证明》《机动车注销证明》《道路运输证注销证明》等相关证明材料。</w:t>
      </w:r>
      <w:r>
        <w:rPr>
          <w:rFonts w:hint="eastAsia" w:ascii="仿宋_GB2312" w:eastAsia="仿宋_GB2312"/>
          <w:spacing w:val="0"/>
          <w:kern w:val="0"/>
          <w:sz w:val="32"/>
          <w:szCs w:val="32"/>
          <w:lang w:eastAsia="zh-CN"/>
        </w:rPr>
        <w:t>车辆所有人仅需提交车辆注册登记所有人身份证或营业执照原件及复印件、车辆行驶证、道路运输证、授权委托书、被委托人身份证、开户银行全称及账号等材料；</w:t>
      </w:r>
    </w:p>
    <w:p w14:paraId="3B51E841">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pacing w:val="0"/>
          <w:kern w:val="0"/>
          <w:sz w:val="32"/>
          <w:szCs w:val="32"/>
          <w:lang w:val="en-US" w:eastAsia="zh-CN"/>
        </w:rPr>
      </w:pPr>
      <w:r>
        <w:rPr>
          <w:rFonts w:hint="eastAsia" w:ascii="仿宋_GB2312" w:eastAsia="仿宋_GB2312"/>
          <w:spacing w:val="0"/>
          <w:kern w:val="0"/>
          <w:sz w:val="32"/>
          <w:szCs w:val="32"/>
          <w:lang w:val="en-US" w:eastAsia="zh-CN"/>
        </w:rPr>
        <w:t>2、</w:t>
      </w:r>
      <w:r>
        <w:rPr>
          <w:rFonts w:hint="eastAsia" w:ascii="仿宋_GB2312" w:eastAsia="仿宋_GB2312"/>
          <w:spacing w:val="0"/>
          <w:kern w:val="0"/>
          <w:sz w:val="32"/>
          <w:szCs w:val="32"/>
          <w:lang w:eastAsia="zh-CN"/>
        </w:rPr>
        <w:t>在外地拆解报废的车辆，需自行办理以上手续。在提供《报废机动车回收证明》时，需同时提交机动车拆解前整体外观、拆解后状况以及车辆识别代号等特征照片。车辆注册登记人为企业的，需提交</w:t>
      </w:r>
      <w:r>
        <w:rPr>
          <w:rFonts w:hint="eastAsia" w:ascii="仿宋_GB2312" w:eastAsia="仿宋_GB2312"/>
          <w:color w:val="auto"/>
          <w:spacing w:val="0"/>
          <w:kern w:val="0"/>
          <w:sz w:val="32"/>
          <w:szCs w:val="32"/>
          <w:lang w:eastAsia="zh-CN"/>
        </w:rPr>
        <w:t>企业认可书</w:t>
      </w:r>
      <w:r>
        <w:rPr>
          <w:rFonts w:hint="eastAsia" w:ascii="仿宋_GB2312" w:eastAsia="仿宋_GB2312"/>
          <w:spacing w:val="0"/>
          <w:kern w:val="0"/>
          <w:sz w:val="32"/>
          <w:szCs w:val="32"/>
          <w:lang w:eastAsia="zh-CN"/>
        </w:rPr>
        <w:t>和授权委托书。</w:t>
      </w:r>
    </w:p>
    <w:p w14:paraId="7D0E39AD">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kern w:val="2"/>
          <w:sz w:val="32"/>
          <w:szCs w:val="32"/>
          <w:lang w:val="en-US" w:eastAsia="zh-CN"/>
        </w:rPr>
      </w:pPr>
      <w:r>
        <w:rPr>
          <w:rFonts w:hint="eastAsia" w:ascii="楷体_GB2312" w:hAnsi="楷体_GB2312" w:eastAsia="楷体_GB2312" w:cs="楷体_GB2312"/>
          <w:b/>
          <w:bCs/>
          <w:kern w:val="2"/>
          <w:sz w:val="32"/>
          <w:szCs w:val="32"/>
          <w:lang w:val="en-US" w:eastAsia="zh-CN"/>
        </w:rPr>
        <w:t>（二）报废并更新国六排放标准或新能源货车</w:t>
      </w:r>
    </w:p>
    <w:p w14:paraId="56B2674F">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kern w:val="2"/>
          <w:sz w:val="32"/>
          <w:szCs w:val="32"/>
          <w:lang w:eastAsia="zh-CN"/>
        </w:rPr>
      </w:pPr>
      <w:r>
        <w:rPr>
          <w:rFonts w:hint="eastAsia" w:ascii="仿宋_GB2312" w:eastAsia="仿宋_GB2312"/>
          <w:spacing w:val="0"/>
          <w:kern w:val="0"/>
          <w:sz w:val="32"/>
          <w:szCs w:val="32"/>
          <w:lang w:val="en-US" w:eastAsia="zh-CN"/>
        </w:rPr>
        <w:t>1、</w:t>
      </w:r>
      <w:r>
        <w:rPr>
          <w:rFonts w:hint="eastAsia" w:ascii="仿宋_GB2312" w:eastAsia="仿宋_GB2312"/>
          <w:kern w:val="2"/>
          <w:sz w:val="32"/>
          <w:szCs w:val="32"/>
        </w:rPr>
        <w:t>符合前述中报废车辆要求</w:t>
      </w:r>
      <w:r>
        <w:rPr>
          <w:rFonts w:hint="eastAsia" w:ascii="仿宋_GB2312" w:eastAsia="仿宋_GB2312"/>
          <w:kern w:val="2"/>
          <w:sz w:val="32"/>
          <w:szCs w:val="32"/>
          <w:lang w:eastAsia="zh-CN"/>
        </w:rPr>
        <w:t>；</w:t>
      </w:r>
    </w:p>
    <w:p w14:paraId="2AC50704">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pacing w:val="0"/>
          <w:kern w:val="0"/>
          <w:sz w:val="32"/>
          <w:szCs w:val="32"/>
          <w:lang w:eastAsia="zh-CN"/>
        </w:rPr>
      </w:pPr>
      <w:r>
        <w:rPr>
          <w:rFonts w:hint="eastAsia" w:ascii="仿宋_GB2312" w:eastAsia="仿宋_GB2312"/>
          <w:spacing w:val="0"/>
          <w:kern w:val="0"/>
          <w:sz w:val="32"/>
          <w:szCs w:val="32"/>
          <w:lang w:val="en-US" w:eastAsia="zh-CN"/>
        </w:rPr>
        <w:t>2、提交</w:t>
      </w:r>
      <w:r>
        <w:rPr>
          <w:rFonts w:hint="eastAsia" w:ascii="仿宋_GB2312" w:eastAsia="仿宋_GB2312"/>
          <w:spacing w:val="0"/>
          <w:kern w:val="0"/>
          <w:sz w:val="32"/>
          <w:szCs w:val="32"/>
          <w:lang w:eastAsia="zh-CN"/>
        </w:rPr>
        <w:t>新购置车辆的《机动车行驶证》《道路运输证》，以及车辆注册登记所有人身份证或营业执照（需均为淮南籍）至“一站式”服务点或电子邮箱</w:t>
      </w:r>
      <w:r>
        <w:rPr>
          <w:rFonts w:hint="eastAsia" w:ascii="仿宋_GB2312" w:eastAsia="仿宋_GB2312"/>
          <w:spacing w:val="0"/>
          <w:kern w:val="0"/>
          <w:sz w:val="32"/>
          <w:szCs w:val="32"/>
          <w:lang w:eastAsia="zh-CN"/>
        </w:rPr>
        <w:fldChar w:fldCharType="begin"/>
      </w:r>
      <w:r>
        <w:rPr>
          <w:rFonts w:hint="eastAsia" w:ascii="仿宋_GB2312" w:eastAsia="仿宋_GB2312"/>
          <w:spacing w:val="0"/>
          <w:kern w:val="0"/>
          <w:sz w:val="32"/>
          <w:szCs w:val="32"/>
          <w:lang w:eastAsia="zh-CN"/>
        </w:rPr>
        <w:instrText xml:space="preserve"> HYPERLINK "mailto:1030800617@qq.com" </w:instrText>
      </w:r>
      <w:r>
        <w:rPr>
          <w:rFonts w:hint="eastAsia" w:ascii="仿宋_GB2312" w:eastAsia="仿宋_GB2312"/>
          <w:spacing w:val="0"/>
          <w:kern w:val="0"/>
          <w:sz w:val="32"/>
          <w:szCs w:val="32"/>
          <w:lang w:eastAsia="zh-CN"/>
        </w:rPr>
        <w:fldChar w:fldCharType="separate"/>
      </w:r>
      <w:r>
        <w:rPr>
          <w:rStyle w:val="6"/>
          <w:rFonts w:hint="eastAsia" w:ascii="仿宋_GB2312" w:eastAsia="仿宋_GB2312"/>
          <w:spacing w:val="0"/>
          <w:kern w:val="0"/>
          <w:sz w:val="32"/>
          <w:szCs w:val="32"/>
          <w:lang w:eastAsia="zh-CN"/>
        </w:rPr>
        <w:t>1030800617</w:t>
      </w:r>
      <w:r>
        <w:rPr>
          <w:rStyle w:val="6"/>
          <w:rFonts w:hint="eastAsia" w:ascii="仿宋_GB2312" w:eastAsia="仿宋_GB2312"/>
          <w:spacing w:val="0"/>
          <w:kern w:val="0"/>
          <w:sz w:val="32"/>
          <w:szCs w:val="32"/>
          <w:lang w:val="en-US" w:eastAsia="zh-CN"/>
        </w:rPr>
        <w:t>@qq.com</w:t>
      </w:r>
      <w:r>
        <w:rPr>
          <w:rFonts w:hint="eastAsia" w:ascii="仿宋_GB2312" w:eastAsia="仿宋_GB2312"/>
          <w:spacing w:val="0"/>
          <w:kern w:val="0"/>
          <w:sz w:val="32"/>
          <w:szCs w:val="32"/>
          <w:lang w:eastAsia="zh-CN"/>
        </w:rPr>
        <w:fldChar w:fldCharType="end"/>
      </w:r>
      <w:r>
        <w:rPr>
          <w:rFonts w:hint="eastAsia" w:ascii="仿宋_GB2312" w:eastAsia="仿宋_GB2312"/>
          <w:spacing w:val="0"/>
          <w:kern w:val="0"/>
          <w:sz w:val="32"/>
          <w:szCs w:val="32"/>
          <w:lang w:eastAsia="zh-CN"/>
        </w:rPr>
        <w:t>；</w:t>
      </w:r>
    </w:p>
    <w:p w14:paraId="147D9352">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pPr>
      <w:r>
        <w:rPr>
          <w:rFonts w:hint="eastAsia" w:ascii="仿宋_GB2312" w:eastAsia="仿宋_GB2312"/>
          <w:spacing w:val="0"/>
          <w:kern w:val="0"/>
          <w:sz w:val="32"/>
          <w:szCs w:val="32"/>
          <w:lang w:val="en-US" w:eastAsia="zh-CN"/>
        </w:rPr>
        <w:t>3、</w:t>
      </w: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《机动车行驶证》注册登记日期和《道路运输证》发放日期均应在政策实施期内。</w:t>
      </w:r>
    </w:p>
    <w:p w14:paraId="75CCC56B">
      <w:pPr>
        <w:pStyle w:val="2"/>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spacing w:val="0"/>
          <w:kern w:val="0"/>
          <w:sz w:val="32"/>
          <w:szCs w:val="32"/>
          <w:lang w:val="en-US" w:eastAsia="zh-CN"/>
        </w:rPr>
      </w:pPr>
      <w:r>
        <w:rPr>
          <w:rFonts w:hint="eastAsia" w:ascii="楷体_GB2312" w:hAnsi="楷体_GB2312" w:eastAsia="楷体_GB2312" w:cs="楷体_GB2312"/>
          <w:b/>
          <w:bCs/>
          <w:kern w:val="2"/>
          <w:sz w:val="32"/>
          <w:szCs w:val="32"/>
          <w:lang w:val="en-US" w:eastAsia="zh-CN"/>
        </w:rPr>
        <w:t>（三）仅新购新能源</w:t>
      </w:r>
      <w:r>
        <w:rPr>
          <w:rFonts w:hint="eastAsia" w:ascii="楷体_GB2312" w:hAnsi="楷体_GB2312" w:eastAsia="楷体_GB2312" w:cs="楷体_GB2312"/>
          <w:b/>
          <w:bCs/>
          <w:snapToGrid/>
          <w:color w:val="auto"/>
          <w:spacing w:val="0"/>
          <w:w w:val="100"/>
          <w:kern w:val="0"/>
          <w:position w:val="0"/>
          <w:sz w:val="32"/>
          <w:szCs w:val="32"/>
          <w:u w:val="none" w:color="auto"/>
          <w:vertAlign w:val="baseline"/>
          <w:lang w:val="en-US" w:eastAsia="zh-CN" w:bidi="ar-SA"/>
        </w:rPr>
        <w:t>城市冷链配送货车</w:t>
      </w:r>
    </w:p>
    <w:p w14:paraId="331E9C47">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spacing w:val="0"/>
          <w:kern w:val="0"/>
          <w:sz w:val="32"/>
          <w:szCs w:val="32"/>
          <w:lang w:val="en-US" w:eastAsia="zh-CN"/>
        </w:rPr>
      </w:pPr>
      <w:r>
        <w:rPr>
          <w:rFonts w:hint="eastAsia" w:ascii="仿宋_GB2312" w:hAnsi="Times New Roman" w:eastAsia="仿宋_GB2312" w:cs="Times New Roman"/>
          <w:snapToGrid/>
          <w:color w:val="auto"/>
          <w:spacing w:val="0"/>
          <w:w w:val="100"/>
          <w:kern w:val="0"/>
          <w:position w:val="0"/>
          <w:sz w:val="32"/>
          <w:szCs w:val="32"/>
          <w:u w:val="none" w:color="auto"/>
          <w:vertAlign w:val="baseline"/>
          <w:lang w:val="en-US" w:eastAsia="zh-CN" w:bidi="ar-SA"/>
        </w:rPr>
        <w:t>1、提交《机动车行驶证》《道路运输证》，以及车辆注册登记所有人身份证或营业执照</w:t>
      </w:r>
      <w:r>
        <w:rPr>
          <w:rFonts w:hint="eastAsia" w:ascii="仿宋_GB2312" w:eastAsia="仿宋_GB2312"/>
          <w:spacing w:val="0"/>
          <w:kern w:val="0"/>
          <w:sz w:val="32"/>
          <w:szCs w:val="32"/>
          <w:lang w:eastAsia="zh-CN"/>
        </w:rPr>
        <w:t>（需均为淮南籍）至“一站式”服务点或电子邮箱</w:t>
      </w:r>
      <w:r>
        <w:rPr>
          <w:rFonts w:hint="eastAsia" w:ascii="仿宋_GB2312" w:eastAsia="仿宋_GB2312"/>
          <w:spacing w:val="0"/>
          <w:kern w:val="0"/>
          <w:sz w:val="32"/>
          <w:szCs w:val="32"/>
          <w:lang w:eastAsia="zh-CN"/>
        </w:rPr>
        <w:fldChar w:fldCharType="begin"/>
      </w:r>
      <w:r>
        <w:rPr>
          <w:rFonts w:hint="eastAsia" w:ascii="仿宋_GB2312" w:eastAsia="仿宋_GB2312"/>
          <w:spacing w:val="0"/>
          <w:kern w:val="0"/>
          <w:sz w:val="32"/>
          <w:szCs w:val="32"/>
          <w:lang w:eastAsia="zh-CN"/>
        </w:rPr>
        <w:instrText xml:space="preserve"> HYPERLINK "mailto:1030800617@qq.com" </w:instrText>
      </w:r>
      <w:r>
        <w:rPr>
          <w:rFonts w:hint="eastAsia" w:ascii="仿宋_GB2312" w:eastAsia="仿宋_GB2312"/>
          <w:spacing w:val="0"/>
          <w:kern w:val="0"/>
          <w:sz w:val="32"/>
          <w:szCs w:val="32"/>
          <w:lang w:eastAsia="zh-CN"/>
        </w:rPr>
        <w:fldChar w:fldCharType="separate"/>
      </w:r>
      <w:r>
        <w:rPr>
          <w:rStyle w:val="6"/>
          <w:rFonts w:hint="eastAsia" w:ascii="仿宋_GB2312" w:eastAsia="仿宋_GB2312"/>
          <w:spacing w:val="0"/>
          <w:kern w:val="0"/>
          <w:sz w:val="32"/>
          <w:szCs w:val="32"/>
          <w:lang w:eastAsia="zh-CN"/>
        </w:rPr>
        <w:t>1030800617</w:t>
      </w:r>
      <w:r>
        <w:rPr>
          <w:rStyle w:val="6"/>
          <w:rFonts w:hint="eastAsia" w:ascii="仿宋_GB2312" w:eastAsia="仿宋_GB2312"/>
          <w:spacing w:val="0"/>
          <w:kern w:val="0"/>
          <w:sz w:val="32"/>
          <w:szCs w:val="32"/>
          <w:lang w:val="en-US" w:eastAsia="zh-CN"/>
        </w:rPr>
        <w:t>@qq.com</w:t>
      </w:r>
      <w:r>
        <w:rPr>
          <w:rFonts w:hint="eastAsia" w:ascii="仿宋_GB2312" w:eastAsia="仿宋_GB2312"/>
          <w:spacing w:val="0"/>
          <w:kern w:val="0"/>
          <w:sz w:val="32"/>
          <w:szCs w:val="32"/>
          <w:lang w:eastAsia="zh-CN"/>
        </w:rPr>
        <w:fldChar w:fldCharType="end"/>
      </w:r>
      <w:r>
        <w:rPr>
          <w:rFonts w:hint="eastAsia" w:ascii="仿宋_GB2312" w:eastAsia="仿宋_GB2312"/>
          <w:spacing w:val="0"/>
          <w:kern w:val="0"/>
          <w:sz w:val="32"/>
          <w:szCs w:val="32"/>
          <w:lang w:val="en-US" w:eastAsia="zh-CN"/>
        </w:rPr>
        <w:t>;</w:t>
      </w:r>
    </w:p>
    <w:p w14:paraId="07B89F90">
      <w:pPr>
        <w:pStyle w:val="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pPr>
      <w:r>
        <w:rPr>
          <w:rFonts w:hint="eastAsia" w:ascii="仿宋_GB2312" w:eastAsia="仿宋_GB2312"/>
          <w:kern w:val="2"/>
          <w:sz w:val="32"/>
          <w:szCs w:val="32"/>
          <w:lang w:val="en-US" w:eastAsia="zh-CN"/>
        </w:rPr>
        <w:t>2、</w:t>
      </w:r>
      <w:r>
        <w:rPr>
          <w:rFonts w:hint="eastAsia" w:ascii="仿宋_GB2312" w:hAnsi="Times New Roman" w:eastAsia="仿宋_GB2312" w:cs="Times New Roman"/>
          <w:snapToGrid/>
          <w:color w:val="auto"/>
          <w:spacing w:val="0"/>
          <w:w w:val="100"/>
          <w:kern w:val="2"/>
          <w:position w:val="0"/>
          <w:sz w:val="32"/>
          <w:szCs w:val="32"/>
          <w:u w:val="none" w:color="auto"/>
          <w:vertAlign w:val="baseline"/>
          <w:lang w:val="en-US" w:eastAsia="zh-CN" w:bidi="ar-SA"/>
        </w:rPr>
        <w:t>《机动车行驶证》注册登记日期和《道路运输证》发放日期均应在政策实施期内。</w:t>
      </w:r>
    </w:p>
    <w:p w14:paraId="5888D2B6">
      <w:pPr>
        <w:pStyle w:val="2"/>
        <w:keepNext w:val="0"/>
        <w:keepLines w:val="0"/>
        <w:pageBreakBefore w:val="0"/>
        <w:numPr>
          <w:ilvl w:val="0"/>
          <w:numId w:val="0"/>
        </w:numPr>
        <w:kinsoku/>
        <w:wordWrap/>
        <w:overflowPunct/>
        <w:topLinePunct w:val="0"/>
        <w:autoSpaceDE/>
        <w:autoSpaceDN/>
        <w:bidi w:val="0"/>
        <w:adjustRightInd/>
        <w:spacing w:line="560" w:lineRule="exact"/>
        <w:ind w:firstLine="960" w:firstLineChars="300"/>
        <w:textAlignment w:val="auto"/>
        <w:rPr>
          <w:rFonts w:hint="eastAsia" w:ascii="仿宋_GB2312" w:eastAsia="仿宋_GB2312"/>
          <w:kern w:val="2"/>
          <w:sz w:val="32"/>
          <w:szCs w:val="32"/>
          <w:lang w:val="en-US" w:eastAsia="zh-CN"/>
        </w:rPr>
      </w:pPr>
    </w:p>
    <w:p w14:paraId="3FD5E256">
      <w:pPr>
        <w:pStyle w:val="2"/>
        <w:keepNext w:val="0"/>
        <w:keepLines w:val="0"/>
        <w:pageBreakBefore w:val="0"/>
        <w:numPr>
          <w:ilvl w:val="0"/>
          <w:numId w:val="0"/>
        </w:numPr>
        <w:kinsoku/>
        <w:wordWrap/>
        <w:overflowPunct/>
        <w:topLinePunct w:val="0"/>
        <w:autoSpaceDE/>
        <w:autoSpaceDN/>
        <w:bidi w:val="0"/>
        <w:adjustRightInd/>
        <w:spacing w:line="560" w:lineRule="exact"/>
        <w:ind w:firstLine="960" w:firstLineChars="300"/>
        <w:textAlignment w:val="auto"/>
        <w:rPr>
          <w:rFonts w:hint="default" w:ascii="仿宋_GB2312" w:eastAsia="仿宋_GB2312"/>
          <w:kern w:val="2"/>
          <w:sz w:val="32"/>
          <w:szCs w:val="32"/>
          <w:lang w:val="en-US" w:eastAsia="zh-CN"/>
        </w:rPr>
      </w:pPr>
      <w:r>
        <w:rPr>
          <w:rFonts w:hint="eastAsia" w:ascii="仿宋_GB2312" w:eastAsia="仿宋_GB2312"/>
          <w:kern w:val="2"/>
          <w:sz w:val="32"/>
          <w:szCs w:val="32"/>
          <w:lang w:val="en-US" w:eastAsia="zh-CN"/>
        </w:rPr>
        <w:t>咨询电话：市交通运输局：0554-6647643</w:t>
      </w:r>
    </w:p>
    <w:p w14:paraId="6847A19A">
      <w:pPr>
        <w:pStyle w:val="2"/>
        <w:keepNext w:val="0"/>
        <w:keepLines w:val="0"/>
        <w:pageBreakBefore w:val="0"/>
        <w:numPr>
          <w:ilvl w:val="0"/>
          <w:numId w:val="0"/>
        </w:numPr>
        <w:kinsoku/>
        <w:wordWrap/>
        <w:overflowPunct/>
        <w:topLinePunct w:val="0"/>
        <w:autoSpaceDE/>
        <w:autoSpaceDN/>
        <w:bidi w:val="0"/>
        <w:adjustRightInd/>
        <w:spacing w:line="560" w:lineRule="exact"/>
        <w:ind w:firstLine="2560" w:firstLineChars="800"/>
        <w:textAlignment w:val="auto"/>
        <w:rPr>
          <w:rFonts w:hint="default" w:ascii="仿宋_GB2312" w:eastAsia="仿宋_GB2312"/>
          <w:kern w:val="2"/>
          <w:sz w:val="32"/>
          <w:szCs w:val="32"/>
          <w:lang w:val="en-US" w:eastAsia="zh-CN"/>
        </w:rPr>
      </w:pPr>
      <w:r>
        <w:rPr>
          <w:rFonts w:hint="eastAsia" w:ascii="仿宋_GB2312" w:eastAsia="仿宋_GB2312"/>
          <w:kern w:val="2"/>
          <w:sz w:val="32"/>
          <w:szCs w:val="32"/>
          <w:lang w:val="en-US" w:eastAsia="zh-CN"/>
        </w:rPr>
        <w:t>市运管处：0554-6613689</w:t>
      </w:r>
    </w:p>
    <w:p w14:paraId="71344931">
      <w:pPr>
        <w:keepNext w:val="0"/>
        <w:keepLines w:val="0"/>
        <w:pageBreakBefore w:val="0"/>
        <w:kinsoku/>
        <w:wordWrap/>
        <w:overflowPunct/>
        <w:topLinePunct w:val="0"/>
        <w:autoSpaceDE/>
        <w:autoSpaceDN/>
        <w:bidi w:val="0"/>
        <w:adjustRightInd/>
        <w:spacing w:line="560" w:lineRule="exact"/>
        <w:textAlignment w:val="auto"/>
      </w:pPr>
      <w:bookmarkStart w:id="0" w:name="_GoBack"/>
      <w:bookmarkEnd w:id="0"/>
    </w:p>
    <w:sectPr>
      <w:pgSz w:w="11906" w:h="16838"/>
      <w:pgMar w:top="2154" w:right="1474"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OTYxNDgxNjAzNzk0NDYxZGM2ZGE1ZmRmNjU0OWEifQ=="/>
  </w:docVars>
  <w:rsids>
    <w:rsidRoot w:val="53366016"/>
    <w:rsid w:val="085012EA"/>
    <w:rsid w:val="096E162E"/>
    <w:rsid w:val="1DB765D0"/>
    <w:rsid w:val="21CB703F"/>
    <w:rsid w:val="290660E4"/>
    <w:rsid w:val="35AE1D1F"/>
    <w:rsid w:val="3E8B1D5F"/>
    <w:rsid w:val="50AA28A3"/>
    <w:rsid w:val="53366016"/>
    <w:rsid w:val="554A7E27"/>
    <w:rsid w:val="58282886"/>
    <w:rsid w:val="64E6760C"/>
    <w:rsid w:val="73E0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napToGrid w:val="0"/>
      <w:kern w:val="0"/>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adjustRightInd/>
      <w:snapToGrid w:val="0"/>
      <w:spacing w:line="240" w:lineRule="auto"/>
      <w:jc w:val="both"/>
      <w:outlineLvl w:val="9"/>
    </w:pPr>
    <w:rPr>
      <w:rFonts w:ascii="Times New Roman" w:hAnsi="Times New Roman"/>
      <w:sz w:val="18"/>
    </w:rPr>
  </w:style>
  <w:style w:type="paragraph" w:styleId="3">
    <w:name w:val="Normal (Web)"/>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4"/>
      <w:u w:val="none" w:color="auto"/>
      <w:vertAlign w:val="baseline"/>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1438</Words>
  <Characters>1502</Characters>
  <Lines>0</Lines>
  <Paragraphs>0</Paragraphs>
  <TotalTime>9</TotalTime>
  <ScaleCrop>false</ScaleCrop>
  <LinksUpToDate>false</LinksUpToDate>
  <CharactersWithSpaces>1503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2024-09-23T01:53:00Z</dcterms:created>
  <dc:creator>许强</dc:creator>
  <cp:lastModifiedBy>许强</cp:lastModifiedBy>
  <dcterms:modified xsi:type="dcterms:W3CDTF">2024-09-25T03:48:16Z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E22EB1D9607E489CBA4F729C95E3DC1F_13</vt:lpwstr>
  </property>
</Properties>
</file>